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612CF">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rFonts w:hint="eastAsia" w:ascii="方正仿宋_GB2312" w:hAnsi="方正仿宋_GB2312" w:eastAsia="方正仿宋_GB2312" w:cs="方正仿宋_GB2312"/>
          <w:b/>
          <w:bCs/>
          <w:color w:val="000000"/>
          <w:sz w:val="36"/>
          <w:szCs w:val="36"/>
          <w:highlight w:val="white"/>
          <w:u w:val="none"/>
          <w:lang w:eastAsia="zh-CN"/>
        </w:rPr>
      </w:pPr>
      <w:r>
        <w:rPr>
          <w:rFonts w:hint="eastAsia" w:ascii="方正仿宋_GB2312" w:hAnsi="方正仿宋_GB2312" w:eastAsia="方正仿宋_GB2312" w:cs="方正仿宋_GB2312"/>
          <w:b/>
          <w:bCs/>
          <w:color w:val="000000"/>
          <w:sz w:val="36"/>
          <w:szCs w:val="36"/>
          <w:highlight w:val="white"/>
          <w:u w:val="none"/>
          <w:lang w:eastAsia="zh-CN"/>
        </w:rPr>
        <w:t>宿迁市耕地保护和利用专项规划项目征求意见公告</w:t>
      </w:r>
    </w:p>
    <w:p w14:paraId="3A374027">
      <w:pPr>
        <w:spacing w:line="500" w:lineRule="exact"/>
        <w:ind w:firstLine="560" w:firstLineChars="200"/>
        <w:rPr>
          <w:rFonts w:hint="eastAsia" w:ascii="方正仿宋_GB2312" w:hAnsi="方正仿宋_GB2312" w:eastAsia="方正仿宋_GB2312" w:cs="方正仿宋_GB2312"/>
          <w:color w:val="000000"/>
          <w:sz w:val="28"/>
          <w:szCs w:val="28"/>
          <w:highlight w:val="white"/>
        </w:rPr>
      </w:pPr>
      <w:r>
        <w:rPr>
          <w:rFonts w:hint="eastAsia" w:ascii="方正仿宋_GB2312" w:hAnsi="方正仿宋_GB2312" w:eastAsia="方正仿宋_GB2312" w:cs="方正仿宋_GB2312"/>
          <w:color w:val="000000"/>
          <w:sz w:val="28"/>
          <w:szCs w:val="28"/>
          <w:highlight w:val="white"/>
          <w:u w:val="single"/>
          <w:lang w:eastAsia="zh-CN"/>
        </w:rPr>
        <w:t>宿迁市自然资源和规划局</w:t>
      </w:r>
      <w:r>
        <w:rPr>
          <w:rFonts w:hint="eastAsia" w:ascii="方正仿宋_GB2312" w:hAnsi="方正仿宋_GB2312" w:eastAsia="方正仿宋_GB2312" w:cs="方正仿宋_GB2312"/>
          <w:color w:val="000000"/>
          <w:sz w:val="28"/>
          <w:szCs w:val="28"/>
          <w:highlight w:val="white"/>
        </w:rPr>
        <w:t>就</w:t>
      </w:r>
      <w:r>
        <w:rPr>
          <w:rFonts w:hint="eastAsia" w:ascii="方正仿宋_GB2312" w:hAnsi="方正仿宋_GB2312" w:eastAsia="方正仿宋_GB2312" w:cs="方正仿宋_GB2312"/>
          <w:color w:val="000000"/>
          <w:sz w:val="28"/>
          <w:szCs w:val="28"/>
          <w:highlight w:val="white"/>
          <w:u w:val="single"/>
          <w:lang w:eastAsia="zh-CN"/>
        </w:rPr>
        <w:t>宿迁市耕地保护和利用专项规划项目</w:t>
      </w:r>
      <w:r>
        <w:rPr>
          <w:rFonts w:hint="eastAsia" w:ascii="方正仿宋_GB2312" w:hAnsi="方正仿宋_GB2312" w:eastAsia="方正仿宋_GB2312" w:cs="方正仿宋_GB2312"/>
          <w:color w:val="000000"/>
          <w:sz w:val="28"/>
          <w:szCs w:val="28"/>
          <w:highlight w:val="white"/>
        </w:rPr>
        <w:t>进行市场调研，邀请合格的供应商参与市场调研。有关事项如下：</w:t>
      </w:r>
    </w:p>
    <w:p w14:paraId="5AC72AD9">
      <w:pPr>
        <w:spacing w:line="500" w:lineRule="exact"/>
        <w:ind w:firstLine="562" w:firstLineChars="200"/>
        <w:rPr>
          <w:rFonts w:hint="eastAsia" w:ascii="方正仿宋_GB2312" w:hAnsi="方正仿宋_GB2312" w:eastAsia="方正仿宋_GB2312" w:cs="方正仿宋_GB2312"/>
          <w:b/>
          <w:sz w:val="28"/>
          <w:szCs w:val="28"/>
          <w:highlight w:val="white"/>
        </w:rPr>
      </w:pPr>
      <w:r>
        <w:rPr>
          <w:rFonts w:hint="eastAsia" w:ascii="方正仿宋_GB2312" w:hAnsi="方正仿宋_GB2312" w:eastAsia="方正仿宋_GB2312" w:cs="方正仿宋_GB2312"/>
          <w:b/>
          <w:sz w:val="28"/>
          <w:szCs w:val="28"/>
          <w:highlight w:val="white"/>
        </w:rPr>
        <w:t>一、项目基本情况</w:t>
      </w:r>
    </w:p>
    <w:p w14:paraId="2CCEB9F6">
      <w:pPr>
        <w:spacing w:line="500" w:lineRule="exact"/>
        <w:ind w:firstLine="560" w:firstLineChars="200"/>
        <w:rPr>
          <w:rFonts w:hint="eastAsia" w:ascii="方正仿宋_GB2312" w:hAnsi="方正仿宋_GB2312" w:eastAsia="方正仿宋_GB2312" w:cs="方正仿宋_GB2312"/>
          <w:sz w:val="28"/>
          <w:szCs w:val="28"/>
          <w:u w:val="single"/>
          <w:lang w:eastAsia="zh-CN"/>
        </w:rPr>
      </w:pPr>
      <w:r>
        <w:rPr>
          <w:rFonts w:hint="eastAsia" w:ascii="方正仿宋_GB2312" w:hAnsi="方正仿宋_GB2312" w:eastAsia="方正仿宋_GB2312" w:cs="方正仿宋_GB2312"/>
          <w:kern w:val="0"/>
          <w:sz w:val="28"/>
          <w:szCs w:val="28"/>
          <w:highlight w:val="white"/>
        </w:rPr>
        <w:t>（一）项目名称：</w:t>
      </w:r>
      <w:r>
        <w:rPr>
          <w:rFonts w:hint="eastAsia" w:ascii="方正仿宋_GB2312" w:hAnsi="方正仿宋_GB2312" w:eastAsia="方正仿宋_GB2312" w:cs="方正仿宋_GB2312"/>
          <w:kern w:val="0"/>
          <w:sz w:val="28"/>
          <w:szCs w:val="28"/>
          <w:highlight w:val="white"/>
          <w:lang w:eastAsia="zh-CN"/>
        </w:rPr>
        <w:t>宿迁市耕地保护和利用专项规划项目</w:t>
      </w:r>
    </w:p>
    <w:p w14:paraId="6689FE19">
      <w:pPr>
        <w:spacing w:line="500" w:lineRule="exact"/>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highlight w:val="white"/>
        </w:rPr>
        <w:t>（二）采购需求：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852"/>
        <w:gridCol w:w="4217"/>
        <w:gridCol w:w="1239"/>
      </w:tblGrid>
      <w:tr w14:paraId="5609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D654F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rPr>
            </w:pPr>
            <w:bookmarkStart w:id="0" w:name="_Hlk109058146"/>
            <w:r>
              <w:rPr>
                <w:rFonts w:hint="eastAsia" w:ascii="方正仿宋_GB2312" w:hAnsi="方正仿宋_GB2312" w:eastAsia="方正仿宋_GB2312" w:cs="方正仿宋_GB2312"/>
                <w:kern w:val="0"/>
                <w:sz w:val="28"/>
                <w:szCs w:val="28"/>
              </w:rPr>
              <w:t>序号</w:t>
            </w:r>
          </w:p>
        </w:tc>
        <w:tc>
          <w:tcPr>
            <w:tcW w:w="1852" w:type="dxa"/>
            <w:vAlign w:val="center"/>
          </w:tcPr>
          <w:p w14:paraId="63B9A7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标的</w:t>
            </w:r>
          </w:p>
        </w:tc>
        <w:tc>
          <w:tcPr>
            <w:tcW w:w="4217" w:type="dxa"/>
            <w:vAlign w:val="center"/>
          </w:tcPr>
          <w:p w14:paraId="3D087F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主要用途及功能</w:t>
            </w:r>
          </w:p>
        </w:tc>
        <w:tc>
          <w:tcPr>
            <w:tcW w:w="1239" w:type="dxa"/>
            <w:vAlign w:val="center"/>
          </w:tcPr>
          <w:p w14:paraId="41E6FD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估算价（万元）</w:t>
            </w:r>
          </w:p>
        </w:tc>
      </w:tr>
      <w:tr w14:paraId="4383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EE0A8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1</w:t>
            </w:r>
          </w:p>
        </w:tc>
        <w:tc>
          <w:tcPr>
            <w:tcW w:w="1852" w:type="dxa"/>
            <w:vAlign w:val="center"/>
          </w:tcPr>
          <w:p w14:paraId="74AD2C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eastAsia="zh-CN"/>
              </w:rPr>
              <w:t>宿迁市耕地保护和利用专项规划项目</w:t>
            </w:r>
          </w:p>
        </w:tc>
        <w:tc>
          <w:tcPr>
            <w:tcW w:w="4217" w:type="dxa"/>
            <w:vAlign w:val="center"/>
          </w:tcPr>
          <w:p w14:paraId="4997647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eastAsia="zh-CN"/>
              </w:rPr>
              <w:t>根据省委办公厅 省政府办公厅《关于加强耕地保护提升耕地质量完善占补平衡的实施意见》（苏办发【2024】17号）《江苏省自然资源厅关于开展耕地保护和利用专项规划编制工作的通知》等文件要求，结合耕地保护与粮食安全责任制考核、耕地占补平衡制度改革、耕地恢复、永久基本农田保护与调整等，系统谋划耕地资源配置，算好耕地保护“长远账”，实现耕地主动保护和系统保护目标，编制宿迁市耕地保护和利用专项规划（含市辖区规划、市级规划），规划内容包括全面厘清耕地资源基础、摸排耕地恢复潜力、确定主要规划目标、优化耕地空间布局、谋划重大工程和明确规划时序安排等。根据部省最新工作部署，对专项规划进行修改完善。详细内容见本磋商文件第四章。</w:t>
            </w:r>
          </w:p>
        </w:tc>
        <w:tc>
          <w:tcPr>
            <w:tcW w:w="1239" w:type="dxa"/>
            <w:vAlign w:val="center"/>
          </w:tcPr>
          <w:p w14:paraId="77052D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160</w:t>
            </w:r>
          </w:p>
        </w:tc>
      </w:tr>
      <w:bookmarkEnd w:id="0"/>
    </w:tbl>
    <w:p w14:paraId="2D1883BF">
      <w:pPr>
        <w:spacing w:line="500" w:lineRule="exact"/>
        <w:ind w:firstLine="562"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b/>
          <w:sz w:val="28"/>
          <w:szCs w:val="28"/>
          <w:highlight w:val="white"/>
        </w:rPr>
        <w:t>二、供应商资格要求</w:t>
      </w:r>
    </w:p>
    <w:p w14:paraId="0A4D7EC6">
      <w:pPr>
        <w:spacing w:line="500" w:lineRule="exact"/>
        <w:ind w:firstLine="560" w:firstLineChars="200"/>
        <w:rPr>
          <w:rFonts w:hint="eastAsia" w:ascii="方正仿宋_GB2312" w:hAnsi="方正仿宋_GB2312" w:eastAsia="方正仿宋_GB2312" w:cs="方正仿宋_GB2312"/>
          <w:b w:val="0"/>
          <w:bCs/>
          <w:sz w:val="28"/>
          <w:szCs w:val="28"/>
          <w:highlight w:val="white"/>
        </w:rPr>
      </w:pPr>
      <w:r>
        <w:rPr>
          <w:rFonts w:hint="eastAsia" w:ascii="方正仿宋_GB2312" w:hAnsi="方正仿宋_GB2312" w:eastAsia="方正仿宋_GB2312" w:cs="方正仿宋_GB2312"/>
          <w:b w:val="0"/>
          <w:bCs/>
          <w:sz w:val="28"/>
          <w:szCs w:val="28"/>
          <w:highlight w:val="white"/>
        </w:rPr>
        <w:t>（一）通用资格要求</w:t>
      </w:r>
    </w:p>
    <w:p w14:paraId="1D035AEE">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1.具备《中华人民共和国政府采购法》第二十二条第一款规定的6项条件（按要求提供声明及信用承诺）；</w:t>
      </w:r>
    </w:p>
    <w:p w14:paraId="74E50569">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2.信用信息。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14:paraId="2A11F2B6">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3.落实政府采购政策需满足的资格要求：无。</w:t>
      </w:r>
    </w:p>
    <w:p w14:paraId="56B19254">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（二）本项目的特定资格要求：供应商须具备有效期（或批准延长有效期）内的土地整治项目规划设计二级及以上资质和城乡规划甲级资质。</w:t>
      </w:r>
    </w:p>
    <w:p w14:paraId="39A6A98E">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（三）本项目接受联合体投标，联合体投标的须提供联合体协议书。</w:t>
      </w:r>
    </w:p>
    <w:p w14:paraId="7E219092">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1.联合体成员不得超过2家。联合体供应商之间须签订联合体协议书，明确联合体主供应商（牵头人）和联合体其他供应商各自承担的工作和义务，并就采购合同约定的事项承担相应责任。联合体供应商应当具备与联合体协议中约定的分工相适应的能力。</w:t>
      </w:r>
    </w:p>
    <w:p w14:paraId="3A7E724F">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2.联合体对外以一个投标人的身份共同投标，联合体中标的，采购人与“联合体投标人的身份”对应的各供应商签订采购合同，联合体各方就采购合同约定的事项对采购人承担全部责任。联合体供应商中的一方不得再单独参加本项目投标，也不得组成新的联合体或参加其他联合体在本项目中再次投标，否则相关投标均无效。</w:t>
      </w:r>
    </w:p>
    <w:p w14:paraId="61311318">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3.联合体牵头人所提交的响应文件应认为已代表了联合体各成员的真实情况。组成联合体投标须为联合体各方自愿行为。</w:t>
      </w:r>
    </w:p>
    <w:p w14:paraId="79B4BF11">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4.以联合体形式参加政府采购活动，联合体各方均为中小企业的，联合体视同中小企业。</w:t>
      </w:r>
    </w:p>
    <w:p w14:paraId="0A0B1E07">
      <w:pPr>
        <w:spacing w:line="500" w:lineRule="exact"/>
        <w:ind w:firstLine="562" w:firstLineChars="200"/>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highlight w:val="white"/>
        </w:rPr>
        <w:t>三、公告时间</w:t>
      </w:r>
    </w:p>
    <w:p w14:paraId="3DFCEC16">
      <w:pPr>
        <w:keepNext w:val="0"/>
        <w:keepLines w:val="0"/>
        <w:pageBreakBefore w:val="0"/>
        <w:widowControl w:val="0"/>
        <w:kinsoku/>
        <w:wordWrap/>
        <w:overflowPunct/>
        <w:topLinePunct w:val="0"/>
        <w:autoSpaceDE/>
        <w:autoSpaceDN/>
        <w:bidi w:val="0"/>
        <w:adjustRightInd/>
        <w:snapToGrid/>
        <w:spacing w:line="500" w:lineRule="exact"/>
        <w:ind w:right="1123" w:firstLine="560" w:firstLineChars="200"/>
        <w:textAlignment w:val="auto"/>
        <w:rPr>
          <w:rFonts w:hint="eastAsia" w:ascii="方正仿宋_GB2312" w:hAnsi="方正仿宋_GB2312" w:eastAsia="方正仿宋_GB2312" w:cs="方正仿宋_GB2312"/>
          <w:bCs/>
          <w:color w:val="000000"/>
          <w:sz w:val="28"/>
          <w:szCs w:val="28"/>
        </w:rPr>
      </w:pPr>
      <w:bookmarkStart w:id="1" w:name="EBd6e08bd78d674b669f89e3eb71dbbd3d"/>
      <w:r>
        <w:rPr>
          <w:rFonts w:hint="eastAsia" w:ascii="方正仿宋_GB2312" w:hAnsi="方正仿宋_GB2312" w:eastAsia="方正仿宋_GB2312" w:cs="方正仿宋_GB2312"/>
          <w:bCs/>
          <w:color w:val="000000"/>
          <w:sz w:val="28"/>
          <w:szCs w:val="28"/>
          <w:highlight w:val="white"/>
          <w:u w:val="none"/>
          <w:lang w:val="en-US" w:eastAsia="zh-CN"/>
        </w:rPr>
        <w:t>2025</w:t>
      </w:r>
      <w:r>
        <w:rPr>
          <w:rFonts w:hint="eastAsia" w:ascii="方正仿宋_GB2312" w:hAnsi="方正仿宋_GB2312" w:eastAsia="方正仿宋_GB2312" w:cs="方正仿宋_GB2312"/>
          <w:bCs/>
          <w:color w:val="000000"/>
          <w:sz w:val="28"/>
          <w:szCs w:val="28"/>
          <w:highlight w:val="white"/>
          <w:u w:val="none"/>
        </w:rPr>
        <w:t>年</w:t>
      </w:r>
      <w:r>
        <w:rPr>
          <w:rFonts w:hint="eastAsia" w:ascii="方正仿宋_GB2312" w:hAnsi="方正仿宋_GB2312" w:eastAsia="方正仿宋_GB2312" w:cs="方正仿宋_GB2312"/>
          <w:bCs/>
          <w:color w:val="000000"/>
          <w:sz w:val="28"/>
          <w:szCs w:val="28"/>
          <w:highlight w:val="white"/>
          <w:u w:val="none"/>
          <w:lang w:val="en-US" w:eastAsia="zh-CN"/>
        </w:rPr>
        <w:t>09</w:t>
      </w:r>
      <w:r>
        <w:rPr>
          <w:rFonts w:hint="eastAsia" w:ascii="方正仿宋_GB2312" w:hAnsi="方正仿宋_GB2312" w:eastAsia="方正仿宋_GB2312" w:cs="方正仿宋_GB2312"/>
          <w:bCs/>
          <w:color w:val="000000"/>
          <w:sz w:val="28"/>
          <w:szCs w:val="28"/>
          <w:highlight w:val="white"/>
          <w:u w:val="none"/>
        </w:rPr>
        <w:t>月</w:t>
      </w:r>
      <w:r>
        <w:rPr>
          <w:rFonts w:hint="eastAsia" w:ascii="方正仿宋_GB2312" w:hAnsi="方正仿宋_GB2312" w:eastAsia="方正仿宋_GB2312" w:cs="方正仿宋_GB2312"/>
          <w:bCs/>
          <w:color w:val="000000"/>
          <w:sz w:val="28"/>
          <w:szCs w:val="28"/>
          <w:highlight w:val="white"/>
          <w:u w:val="none"/>
          <w:lang w:val="en-US" w:eastAsia="zh-CN"/>
        </w:rPr>
        <w:t>30</w:t>
      </w:r>
      <w:r>
        <w:rPr>
          <w:rFonts w:hint="eastAsia" w:ascii="方正仿宋_GB2312" w:hAnsi="方正仿宋_GB2312" w:eastAsia="方正仿宋_GB2312" w:cs="方正仿宋_GB2312"/>
          <w:bCs/>
          <w:color w:val="000000"/>
          <w:sz w:val="28"/>
          <w:szCs w:val="28"/>
          <w:highlight w:val="white"/>
          <w:u w:val="none"/>
        </w:rPr>
        <w:t>日</w:t>
      </w:r>
      <w:bookmarkEnd w:id="1"/>
      <w:r>
        <w:rPr>
          <w:rFonts w:hint="eastAsia" w:ascii="方正仿宋_GB2312" w:hAnsi="方正仿宋_GB2312" w:eastAsia="方正仿宋_GB2312" w:cs="方正仿宋_GB2312"/>
          <w:bCs/>
          <w:color w:val="000000"/>
          <w:sz w:val="28"/>
          <w:szCs w:val="28"/>
          <w:highlight w:val="white"/>
          <w:u w:val="none"/>
          <w:lang w:val="en-US" w:eastAsia="zh-CN"/>
        </w:rPr>
        <w:t>09:00</w:t>
      </w:r>
      <w:r>
        <w:rPr>
          <w:rFonts w:hint="eastAsia" w:ascii="方正仿宋_GB2312" w:hAnsi="方正仿宋_GB2312" w:eastAsia="方正仿宋_GB2312" w:cs="方正仿宋_GB2312"/>
          <w:bCs/>
          <w:color w:val="000000"/>
          <w:sz w:val="28"/>
          <w:szCs w:val="28"/>
          <w:highlight w:val="white"/>
          <w:u w:val="none"/>
        </w:rPr>
        <w:t>至</w:t>
      </w:r>
      <w:bookmarkStart w:id="2" w:name="EB4a82fe30d91a48338ebb02b9012d939c"/>
      <w:r>
        <w:rPr>
          <w:rFonts w:hint="eastAsia" w:ascii="方正仿宋_GB2312" w:hAnsi="方正仿宋_GB2312" w:eastAsia="方正仿宋_GB2312" w:cs="方正仿宋_GB2312"/>
          <w:bCs/>
          <w:color w:val="000000"/>
          <w:sz w:val="28"/>
          <w:szCs w:val="28"/>
          <w:highlight w:val="white"/>
          <w:u w:val="none"/>
          <w:lang w:val="en-US" w:eastAsia="zh-CN"/>
        </w:rPr>
        <w:t>2025</w:t>
      </w:r>
      <w:r>
        <w:rPr>
          <w:rFonts w:hint="eastAsia" w:ascii="方正仿宋_GB2312" w:hAnsi="方正仿宋_GB2312" w:eastAsia="方正仿宋_GB2312" w:cs="方正仿宋_GB2312"/>
          <w:bCs/>
          <w:color w:val="000000"/>
          <w:sz w:val="28"/>
          <w:szCs w:val="28"/>
          <w:highlight w:val="white"/>
          <w:u w:val="none"/>
        </w:rPr>
        <w:t>年</w:t>
      </w:r>
      <w:r>
        <w:rPr>
          <w:rFonts w:hint="eastAsia" w:ascii="方正仿宋_GB2312" w:hAnsi="方正仿宋_GB2312" w:eastAsia="方正仿宋_GB2312" w:cs="方正仿宋_GB2312"/>
          <w:bCs/>
          <w:color w:val="000000"/>
          <w:sz w:val="28"/>
          <w:szCs w:val="28"/>
          <w:highlight w:val="white"/>
          <w:u w:val="none"/>
          <w:lang w:val="en-US" w:eastAsia="zh-CN"/>
        </w:rPr>
        <w:t>10</w:t>
      </w:r>
      <w:r>
        <w:rPr>
          <w:rFonts w:hint="eastAsia" w:ascii="方正仿宋_GB2312" w:hAnsi="方正仿宋_GB2312" w:eastAsia="方正仿宋_GB2312" w:cs="方正仿宋_GB2312"/>
          <w:bCs/>
          <w:color w:val="000000"/>
          <w:sz w:val="28"/>
          <w:szCs w:val="28"/>
          <w:highlight w:val="white"/>
          <w:u w:val="none"/>
        </w:rPr>
        <w:t>月</w:t>
      </w:r>
      <w:r>
        <w:rPr>
          <w:rFonts w:hint="eastAsia" w:ascii="方正仿宋_GB2312" w:hAnsi="方正仿宋_GB2312" w:eastAsia="方正仿宋_GB2312" w:cs="方正仿宋_GB2312"/>
          <w:bCs/>
          <w:color w:val="000000"/>
          <w:sz w:val="28"/>
          <w:szCs w:val="28"/>
          <w:highlight w:val="white"/>
          <w:u w:val="none"/>
          <w:lang w:val="en-US" w:eastAsia="zh-CN"/>
        </w:rPr>
        <w:t>10</w:t>
      </w:r>
      <w:r>
        <w:rPr>
          <w:rFonts w:hint="eastAsia" w:ascii="方正仿宋_GB2312" w:hAnsi="方正仿宋_GB2312" w:eastAsia="方正仿宋_GB2312" w:cs="方正仿宋_GB2312"/>
          <w:bCs/>
          <w:color w:val="000000"/>
          <w:sz w:val="28"/>
          <w:szCs w:val="28"/>
          <w:highlight w:val="white"/>
          <w:u w:val="none"/>
        </w:rPr>
        <w:t>日</w:t>
      </w:r>
      <w:r>
        <w:rPr>
          <w:rFonts w:hint="eastAsia" w:ascii="方正仿宋_GB2312" w:hAnsi="方正仿宋_GB2312" w:eastAsia="方正仿宋_GB2312" w:cs="方正仿宋_GB2312"/>
          <w:bCs/>
          <w:color w:val="000000"/>
          <w:sz w:val="28"/>
          <w:szCs w:val="28"/>
          <w:highlight w:val="white"/>
          <w:u w:val="none"/>
          <w:lang w:val="en-US" w:eastAsia="zh-CN"/>
        </w:rPr>
        <w:t>18</w:t>
      </w:r>
      <w:r>
        <w:rPr>
          <w:rFonts w:hint="eastAsia" w:ascii="方正仿宋_GB2312" w:hAnsi="方正仿宋_GB2312" w:eastAsia="方正仿宋_GB2312" w:cs="方正仿宋_GB2312"/>
          <w:bCs/>
          <w:color w:val="000000"/>
          <w:sz w:val="28"/>
          <w:szCs w:val="28"/>
          <w:highlight w:val="white"/>
          <w:u w:val="none"/>
        </w:rPr>
        <w:t>:</w:t>
      </w:r>
      <w:bookmarkEnd w:id="2"/>
      <w:r>
        <w:rPr>
          <w:rFonts w:hint="eastAsia" w:ascii="方正仿宋_GB2312" w:hAnsi="方正仿宋_GB2312" w:eastAsia="方正仿宋_GB2312" w:cs="方正仿宋_GB2312"/>
          <w:bCs/>
          <w:color w:val="000000"/>
          <w:sz w:val="28"/>
          <w:szCs w:val="28"/>
          <w:highlight w:val="white"/>
          <w:u w:val="none"/>
          <w:lang w:val="en-US" w:eastAsia="zh-CN"/>
        </w:rPr>
        <w:t>00</w:t>
      </w:r>
      <w:r>
        <w:rPr>
          <w:rFonts w:hint="eastAsia" w:ascii="方正仿宋_GB2312" w:hAnsi="方正仿宋_GB2312" w:eastAsia="方正仿宋_GB2312" w:cs="方正仿宋_GB2312"/>
          <w:bCs/>
          <w:color w:val="000000"/>
          <w:sz w:val="28"/>
          <w:szCs w:val="28"/>
          <w:highlight w:val="white"/>
        </w:rPr>
        <w:t>。</w:t>
      </w:r>
    </w:p>
    <w:p w14:paraId="1ABA9FE4">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bCs/>
          <w:color w:val="000000"/>
          <w:sz w:val="28"/>
          <w:szCs w:val="28"/>
          <w:highlight w:val="green"/>
        </w:rPr>
      </w:pPr>
      <w:r>
        <w:rPr>
          <w:rFonts w:hint="eastAsia" w:ascii="方正仿宋_GB2312" w:hAnsi="方正仿宋_GB2312" w:eastAsia="方正仿宋_GB2312" w:cs="方正仿宋_GB2312"/>
          <w:bCs/>
          <w:color w:val="000000"/>
          <w:sz w:val="28"/>
          <w:szCs w:val="28"/>
          <w:highlight w:val="white"/>
        </w:rPr>
        <w:t>供应商在宿迁市政府采购网（http://zfcg.sqcz.suqian.gov.cn/）找到本项目获取相关调研文件。</w:t>
      </w:r>
    </w:p>
    <w:p w14:paraId="2168C128">
      <w:pPr>
        <w:spacing w:line="500" w:lineRule="exact"/>
        <w:ind w:firstLine="562" w:firstLineChars="200"/>
        <w:rPr>
          <w:rFonts w:hint="eastAsia" w:ascii="方正仿宋_GB2312" w:hAnsi="方正仿宋_GB2312" w:eastAsia="方正仿宋_GB2312" w:cs="方正仿宋_GB2312"/>
          <w:b/>
          <w:sz w:val="28"/>
          <w:szCs w:val="28"/>
          <w:highlight w:val="white"/>
        </w:rPr>
      </w:pPr>
      <w:r>
        <w:rPr>
          <w:rFonts w:hint="eastAsia" w:ascii="方正仿宋_GB2312" w:hAnsi="方正仿宋_GB2312" w:eastAsia="方正仿宋_GB2312" w:cs="方正仿宋_GB2312"/>
          <w:b/>
          <w:sz w:val="28"/>
          <w:szCs w:val="28"/>
          <w:highlight w:val="white"/>
        </w:rPr>
        <w:t>四、调研提交资料、截止时间和地点</w:t>
      </w:r>
    </w:p>
    <w:p w14:paraId="13F54DB7">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（一）采购需求响应表</w:t>
      </w:r>
    </w:p>
    <w:tbl>
      <w:tblPr>
        <w:tblStyle w:val="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302"/>
        <w:gridCol w:w="1886"/>
        <w:gridCol w:w="1374"/>
      </w:tblGrid>
      <w:tr w14:paraId="6FD3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1F47BDFB">
            <w:pPr>
              <w:spacing w:line="500" w:lineRule="exact"/>
              <w:jc w:val="center"/>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序号</w:t>
            </w:r>
          </w:p>
        </w:tc>
        <w:tc>
          <w:tcPr>
            <w:tcW w:w="1264" w:type="dxa"/>
            <w:vAlign w:val="center"/>
          </w:tcPr>
          <w:p w14:paraId="434D6FCC">
            <w:pPr>
              <w:spacing w:line="500" w:lineRule="exact"/>
              <w:jc w:val="center"/>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标的</w:t>
            </w:r>
          </w:p>
        </w:tc>
        <w:tc>
          <w:tcPr>
            <w:tcW w:w="3302" w:type="dxa"/>
            <w:vAlign w:val="center"/>
          </w:tcPr>
          <w:p w14:paraId="2425AB3F">
            <w:pPr>
              <w:spacing w:line="500" w:lineRule="exact"/>
              <w:jc w:val="center"/>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详细功能、技术参数或服务要求</w:t>
            </w:r>
          </w:p>
        </w:tc>
        <w:tc>
          <w:tcPr>
            <w:tcW w:w="1886" w:type="dxa"/>
            <w:vAlign w:val="center"/>
          </w:tcPr>
          <w:p w14:paraId="259FA50E">
            <w:pPr>
              <w:spacing w:line="500" w:lineRule="exact"/>
              <w:jc w:val="center"/>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自身优势</w:t>
            </w:r>
          </w:p>
        </w:tc>
        <w:tc>
          <w:tcPr>
            <w:tcW w:w="1374" w:type="dxa"/>
            <w:vAlign w:val="center"/>
          </w:tcPr>
          <w:p w14:paraId="3527A1AD">
            <w:pPr>
              <w:spacing w:line="500" w:lineRule="exact"/>
              <w:jc w:val="center"/>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参考价</w:t>
            </w:r>
          </w:p>
          <w:p w14:paraId="1E165EFA">
            <w:pPr>
              <w:spacing w:line="500" w:lineRule="exact"/>
              <w:jc w:val="center"/>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（万元）</w:t>
            </w:r>
          </w:p>
        </w:tc>
      </w:tr>
      <w:tr w14:paraId="2F4B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40C97111">
            <w:pPr>
              <w:spacing w:line="500" w:lineRule="exact"/>
              <w:jc w:val="center"/>
              <w:rPr>
                <w:rFonts w:hint="eastAsia" w:ascii="方正仿宋_GB2312" w:hAnsi="方正仿宋_GB2312" w:eastAsia="方正仿宋_GB2312" w:cs="方正仿宋_GB2312"/>
                <w:kern w:val="0"/>
                <w:sz w:val="28"/>
                <w:szCs w:val="28"/>
              </w:rPr>
            </w:pPr>
          </w:p>
        </w:tc>
        <w:tc>
          <w:tcPr>
            <w:tcW w:w="1264" w:type="dxa"/>
            <w:vAlign w:val="center"/>
          </w:tcPr>
          <w:p w14:paraId="70677B7B">
            <w:pPr>
              <w:spacing w:line="500" w:lineRule="exact"/>
              <w:jc w:val="center"/>
              <w:rPr>
                <w:rFonts w:hint="eastAsia" w:ascii="方正仿宋_GB2312" w:hAnsi="方正仿宋_GB2312" w:eastAsia="方正仿宋_GB2312" w:cs="方正仿宋_GB2312"/>
                <w:kern w:val="0"/>
                <w:sz w:val="28"/>
                <w:szCs w:val="28"/>
              </w:rPr>
            </w:pPr>
          </w:p>
        </w:tc>
        <w:tc>
          <w:tcPr>
            <w:tcW w:w="3302" w:type="dxa"/>
            <w:vAlign w:val="center"/>
          </w:tcPr>
          <w:p w14:paraId="72D0C042">
            <w:pPr>
              <w:spacing w:line="500" w:lineRule="exact"/>
              <w:jc w:val="center"/>
              <w:rPr>
                <w:rFonts w:hint="eastAsia" w:ascii="方正仿宋_GB2312" w:hAnsi="方正仿宋_GB2312" w:eastAsia="方正仿宋_GB2312" w:cs="方正仿宋_GB2312"/>
                <w:kern w:val="0"/>
                <w:sz w:val="28"/>
                <w:szCs w:val="28"/>
              </w:rPr>
            </w:pPr>
          </w:p>
        </w:tc>
        <w:tc>
          <w:tcPr>
            <w:tcW w:w="1886" w:type="dxa"/>
            <w:vAlign w:val="center"/>
          </w:tcPr>
          <w:p w14:paraId="5408DFD8">
            <w:pPr>
              <w:spacing w:line="500" w:lineRule="exact"/>
              <w:jc w:val="center"/>
              <w:rPr>
                <w:rFonts w:hint="eastAsia" w:ascii="方正仿宋_GB2312" w:hAnsi="方正仿宋_GB2312" w:eastAsia="方正仿宋_GB2312" w:cs="方正仿宋_GB2312"/>
                <w:kern w:val="0"/>
                <w:sz w:val="28"/>
                <w:szCs w:val="28"/>
              </w:rPr>
            </w:pPr>
          </w:p>
        </w:tc>
        <w:tc>
          <w:tcPr>
            <w:tcW w:w="1374" w:type="dxa"/>
          </w:tcPr>
          <w:p w14:paraId="50EA8757">
            <w:pPr>
              <w:spacing w:line="500" w:lineRule="exact"/>
              <w:jc w:val="center"/>
              <w:rPr>
                <w:rFonts w:hint="eastAsia" w:ascii="方正仿宋_GB2312" w:hAnsi="方正仿宋_GB2312" w:eastAsia="方正仿宋_GB2312" w:cs="方正仿宋_GB2312"/>
                <w:kern w:val="0"/>
                <w:sz w:val="28"/>
                <w:szCs w:val="28"/>
              </w:rPr>
            </w:pPr>
          </w:p>
        </w:tc>
      </w:tr>
      <w:tr w14:paraId="3DDB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1193F779">
            <w:pPr>
              <w:spacing w:line="500" w:lineRule="exact"/>
              <w:jc w:val="center"/>
              <w:rPr>
                <w:rFonts w:hint="eastAsia" w:ascii="方正仿宋_GB2312" w:hAnsi="方正仿宋_GB2312" w:eastAsia="方正仿宋_GB2312" w:cs="方正仿宋_GB2312"/>
                <w:kern w:val="0"/>
                <w:sz w:val="28"/>
                <w:szCs w:val="28"/>
              </w:rPr>
            </w:pPr>
          </w:p>
        </w:tc>
        <w:tc>
          <w:tcPr>
            <w:tcW w:w="1264" w:type="dxa"/>
            <w:vAlign w:val="center"/>
          </w:tcPr>
          <w:p w14:paraId="5D070B9D">
            <w:pPr>
              <w:spacing w:line="500" w:lineRule="exact"/>
              <w:jc w:val="center"/>
              <w:rPr>
                <w:rFonts w:hint="eastAsia" w:ascii="方正仿宋_GB2312" w:hAnsi="方正仿宋_GB2312" w:eastAsia="方正仿宋_GB2312" w:cs="方正仿宋_GB2312"/>
                <w:kern w:val="0"/>
                <w:sz w:val="28"/>
                <w:szCs w:val="28"/>
              </w:rPr>
            </w:pPr>
          </w:p>
        </w:tc>
        <w:tc>
          <w:tcPr>
            <w:tcW w:w="3302" w:type="dxa"/>
            <w:vAlign w:val="center"/>
          </w:tcPr>
          <w:p w14:paraId="23BEE78B">
            <w:pPr>
              <w:spacing w:line="500" w:lineRule="exact"/>
              <w:jc w:val="center"/>
              <w:rPr>
                <w:rFonts w:hint="eastAsia" w:ascii="方正仿宋_GB2312" w:hAnsi="方正仿宋_GB2312" w:eastAsia="方正仿宋_GB2312" w:cs="方正仿宋_GB2312"/>
                <w:kern w:val="0"/>
                <w:sz w:val="28"/>
                <w:szCs w:val="28"/>
              </w:rPr>
            </w:pPr>
          </w:p>
        </w:tc>
        <w:tc>
          <w:tcPr>
            <w:tcW w:w="1886" w:type="dxa"/>
            <w:vAlign w:val="center"/>
          </w:tcPr>
          <w:p w14:paraId="66115479">
            <w:pPr>
              <w:spacing w:line="500" w:lineRule="exact"/>
              <w:jc w:val="center"/>
              <w:rPr>
                <w:rFonts w:hint="eastAsia" w:ascii="方正仿宋_GB2312" w:hAnsi="方正仿宋_GB2312" w:eastAsia="方正仿宋_GB2312" w:cs="方正仿宋_GB2312"/>
                <w:kern w:val="0"/>
                <w:sz w:val="28"/>
                <w:szCs w:val="28"/>
              </w:rPr>
            </w:pPr>
          </w:p>
        </w:tc>
        <w:tc>
          <w:tcPr>
            <w:tcW w:w="1374" w:type="dxa"/>
          </w:tcPr>
          <w:p w14:paraId="54C97167">
            <w:pPr>
              <w:spacing w:line="500" w:lineRule="exact"/>
              <w:jc w:val="center"/>
              <w:rPr>
                <w:rFonts w:hint="eastAsia" w:ascii="方正仿宋_GB2312" w:hAnsi="方正仿宋_GB2312" w:eastAsia="方正仿宋_GB2312" w:cs="方正仿宋_GB2312"/>
                <w:kern w:val="0"/>
                <w:sz w:val="28"/>
                <w:szCs w:val="28"/>
              </w:rPr>
            </w:pPr>
          </w:p>
        </w:tc>
      </w:tr>
      <w:tr w14:paraId="4261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6E7A0CBB">
            <w:pPr>
              <w:spacing w:line="500" w:lineRule="exact"/>
              <w:jc w:val="center"/>
              <w:rPr>
                <w:rFonts w:hint="eastAsia" w:ascii="方正仿宋_GB2312" w:hAnsi="方正仿宋_GB2312" w:eastAsia="方正仿宋_GB2312" w:cs="方正仿宋_GB2312"/>
                <w:kern w:val="0"/>
                <w:sz w:val="28"/>
                <w:szCs w:val="28"/>
              </w:rPr>
            </w:pPr>
          </w:p>
        </w:tc>
        <w:tc>
          <w:tcPr>
            <w:tcW w:w="1264" w:type="dxa"/>
            <w:vAlign w:val="center"/>
          </w:tcPr>
          <w:p w14:paraId="68E8430E">
            <w:pPr>
              <w:spacing w:line="500" w:lineRule="exact"/>
              <w:jc w:val="center"/>
              <w:rPr>
                <w:rFonts w:hint="eastAsia" w:ascii="方正仿宋_GB2312" w:hAnsi="方正仿宋_GB2312" w:eastAsia="方正仿宋_GB2312" w:cs="方正仿宋_GB2312"/>
                <w:kern w:val="0"/>
                <w:sz w:val="28"/>
                <w:szCs w:val="28"/>
              </w:rPr>
            </w:pPr>
          </w:p>
        </w:tc>
        <w:tc>
          <w:tcPr>
            <w:tcW w:w="3302" w:type="dxa"/>
            <w:vAlign w:val="center"/>
          </w:tcPr>
          <w:p w14:paraId="7588EED9">
            <w:pPr>
              <w:spacing w:line="500" w:lineRule="exact"/>
              <w:jc w:val="center"/>
              <w:rPr>
                <w:rFonts w:hint="eastAsia" w:ascii="方正仿宋_GB2312" w:hAnsi="方正仿宋_GB2312" w:eastAsia="方正仿宋_GB2312" w:cs="方正仿宋_GB2312"/>
                <w:kern w:val="0"/>
                <w:sz w:val="28"/>
                <w:szCs w:val="28"/>
              </w:rPr>
            </w:pPr>
          </w:p>
        </w:tc>
        <w:tc>
          <w:tcPr>
            <w:tcW w:w="1886" w:type="dxa"/>
            <w:vAlign w:val="center"/>
          </w:tcPr>
          <w:p w14:paraId="2C39D6E8">
            <w:pPr>
              <w:spacing w:line="500" w:lineRule="exact"/>
              <w:jc w:val="center"/>
              <w:rPr>
                <w:rFonts w:hint="eastAsia" w:ascii="方正仿宋_GB2312" w:hAnsi="方正仿宋_GB2312" w:eastAsia="方正仿宋_GB2312" w:cs="方正仿宋_GB2312"/>
                <w:kern w:val="0"/>
                <w:sz w:val="28"/>
                <w:szCs w:val="28"/>
              </w:rPr>
            </w:pPr>
          </w:p>
        </w:tc>
        <w:tc>
          <w:tcPr>
            <w:tcW w:w="1374" w:type="dxa"/>
          </w:tcPr>
          <w:p w14:paraId="18A57633">
            <w:pPr>
              <w:spacing w:line="500" w:lineRule="exact"/>
              <w:jc w:val="center"/>
              <w:rPr>
                <w:rFonts w:hint="eastAsia" w:ascii="方正仿宋_GB2312" w:hAnsi="方正仿宋_GB2312" w:eastAsia="方正仿宋_GB2312" w:cs="方正仿宋_GB2312"/>
                <w:kern w:val="0"/>
                <w:sz w:val="28"/>
                <w:szCs w:val="28"/>
              </w:rPr>
            </w:pPr>
          </w:p>
        </w:tc>
      </w:tr>
    </w:tbl>
    <w:p w14:paraId="097DBF60">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（二）提交证明资料：</w:t>
      </w:r>
    </w:p>
    <w:p w14:paraId="5EF013C2">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1.</w:t>
      </w:r>
    </w:p>
    <w:p w14:paraId="1993DA57">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2.</w:t>
      </w:r>
    </w:p>
    <w:p w14:paraId="7C1D47EE">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3.</w:t>
      </w:r>
    </w:p>
    <w:p w14:paraId="66CFEFD0">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w:t>
      </w:r>
    </w:p>
    <w:p w14:paraId="18CDD5CF">
      <w:pPr>
        <w:spacing w:line="500" w:lineRule="exact"/>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以上资料加盖供应商公章后扫描发送至邮箱（</w:t>
      </w:r>
      <w:r>
        <w:rPr>
          <w:rFonts w:hint="eastAsia" w:ascii="方正仿宋_GB2312" w:hAnsi="方正仿宋_GB2312" w:eastAsia="方正仿宋_GB2312" w:cs="方正仿宋_GB2312"/>
          <w:sz w:val="28"/>
          <w:szCs w:val="28"/>
          <w:highlight w:val="none"/>
          <w:lang w:val="en-US" w:eastAsia="zh-CN"/>
        </w:rPr>
        <w:t>616233899@qq.com</w:t>
      </w:r>
      <w:r>
        <w:rPr>
          <w:rFonts w:hint="eastAsia" w:ascii="方正仿宋_GB2312" w:hAnsi="方正仿宋_GB2312" w:eastAsia="方正仿宋_GB2312" w:cs="方正仿宋_GB2312"/>
          <w:sz w:val="28"/>
          <w:szCs w:val="28"/>
          <w:highlight w:val="none"/>
        </w:rPr>
        <w:t>），其中明确要求产品制造商提供的调研资料请加盖制造商公章后上传。</w:t>
      </w:r>
    </w:p>
    <w:p w14:paraId="7B257ABF">
      <w:pPr>
        <w:spacing w:line="500" w:lineRule="exact"/>
        <w:ind w:firstLine="560" w:firstLineChars="200"/>
        <w:rPr>
          <w:rFonts w:hint="eastAsia" w:ascii="方正仿宋_GB2312" w:hAnsi="方正仿宋_GB2312" w:eastAsia="方正仿宋_GB2312" w:cs="方正仿宋_GB2312"/>
          <w:bCs/>
          <w:color w:val="000000"/>
          <w:sz w:val="28"/>
          <w:szCs w:val="28"/>
          <w:highlight w:val="none"/>
          <w:u w:val="single"/>
        </w:rPr>
      </w:pPr>
      <w:r>
        <w:rPr>
          <w:rFonts w:hint="eastAsia" w:ascii="方正仿宋_GB2312" w:hAnsi="方正仿宋_GB2312" w:eastAsia="方正仿宋_GB2312" w:cs="方正仿宋_GB2312"/>
          <w:sz w:val="28"/>
          <w:szCs w:val="28"/>
          <w:highlight w:val="none"/>
        </w:rPr>
        <w:t>（三）</w:t>
      </w:r>
      <w:r>
        <w:rPr>
          <w:rFonts w:hint="eastAsia" w:ascii="方正仿宋_GB2312" w:hAnsi="方正仿宋_GB2312" w:eastAsia="方正仿宋_GB2312" w:cs="方正仿宋_GB2312"/>
          <w:kern w:val="0"/>
          <w:sz w:val="28"/>
          <w:szCs w:val="28"/>
          <w:highlight w:val="none"/>
        </w:rPr>
        <w:t>提交截止时间：</w:t>
      </w:r>
      <w:r>
        <w:rPr>
          <w:rFonts w:hint="eastAsia" w:ascii="方正仿宋_GB2312" w:hAnsi="方正仿宋_GB2312" w:eastAsia="方正仿宋_GB2312" w:cs="方正仿宋_GB2312"/>
          <w:bCs/>
          <w:color w:val="000000"/>
          <w:sz w:val="28"/>
          <w:szCs w:val="28"/>
          <w:highlight w:val="none"/>
          <w:u w:val="single"/>
          <w:lang w:val="en-US" w:eastAsia="zh-CN"/>
        </w:rPr>
        <w:t>2025</w:t>
      </w:r>
      <w:r>
        <w:rPr>
          <w:rFonts w:hint="eastAsia" w:ascii="方正仿宋_GB2312" w:hAnsi="方正仿宋_GB2312" w:eastAsia="方正仿宋_GB2312" w:cs="方正仿宋_GB2312"/>
          <w:bCs/>
          <w:color w:val="000000"/>
          <w:sz w:val="28"/>
          <w:szCs w:val="28"/>
          <w:highlight w:val="none"/>
        </w:rPr>
        <w:t>年</w:t>
      </w:r>
      <w:r>
        <w:rPr>
          <w:rFonts w:hint="eastAsia" w:ascii="方正仿宋_GB2312" w:hAnsi="方正仿宋_GB2312" w:eastAsia="方正仿宋_GB2312" w:cs="方正仿宋_GB2312"/>
          <w:bCs/>
          <w:color w:val="000000"/>
          <w:sz w:val="28"/>
          <w:szCs w:val="28"/>
          <w:highlight w:val="none"/>
          <w:u w:val="single"/>
          <w:lang w:val="en-US" w:eastAsia="zh-CN"/>
        </w:rPr>
        <w:t>10</w:t>
      </w:r>
      <w:r>
        <w:rPr>
          <w:rFonts w:hint="eastAsia" w:ascii="方正仿宋_GB2312" w:hAnsi="方正仿宋_GB2312" w:eastAsia="方正仿宋_GB2312" w:cs="方正仿宋_GB2312"/>
          <w:bCs/>
          <w:color w:val="000000"/>
          <w:sz w:val="28"/>
          <w:szCs w:val="28"/>
          <w:highlight w:val="none"/>
        </w:rPr>
        <w:t>月</w:t>
      </w:r>
      <w:r>
        <w:rPr>
          <w:rFonts w:hint="eastAsia" w:ascii="方正仿宋_GB2312" w:hAnsi="方正仿宋_GB2312" w:eastAsia="方正仿宋_GB2312" w:cs="方正仿宋_GB2312"/>
          <w:bCs/>
          <w:color w:val="000000"/>
          <w:sz w:val="28"/>
          <w:szCs w:val="28"/>
          <w:highlight w:val="none"/>
          <w:u w:val="single"/>
          <w:lang w:val="en-US" w:eastAsia="zh-CN"/>
        </w:rPr>
        <w:t>10</w:t>
      </w:r>
      <w:r>
        <w:rPr>
          <w:rFonts w:hint="eastAsia" w:ascii="方正仿宋_GB2312" w:hAnsi="方正仿宋_GB2312" w:eastAsia="方正仿宋_GB2312" w:cs="方正仿宋_GB2312"/>
          <w:bCs/>
          <w:color w:val="000000"/>
          <w:sz w:val="28"/>
          <w:szCs w:val="28"/>
          <w:highlight w:val="none"/>
        </w:rPr>
        <w:t>日</w:t>
      </w:r>
      <w:r>
        <w:rPr>
          <w:rFonts w:hint="eastAsia" w:ascii="方正仿宋_GB2312" w:hAnsi="方正仿宋_GB2312" w:eastAsia="方正仿宋_GB2312" w:cs="方正仿宋_GB2312"/>
          <w:bCs/>
          <w:color w:val="000000"/>
          <w:sz w:val="28"/>
          <w:szCs w:val="28"/>
          <w:highlight w:val="none"/>
          <w:u w:val="single"/>
          <w:lang w:val="en-US" w:eastAsia="zh-CN"/>
        </w:rPr>
        <w:t>18</w:t>
      </w:r>
      <w:r>
        <w:rPr>
          <w:rFonts w:hint="eastAsia" w:ascii="方正仿宋_GB2312" w:hAnsi="方正仿宋_GB2312" w:eastAsia="方正仿宋_GB2312" w:cs="方正仿宋_GB2312"/>
          <w:bCs/>
          <w:color w:val="000000"/>
          <w:sz w:val="28"/>
          <w:szCs w:val="28"/>
          <w:highlight w:val="none"/>
          <w:u w:val="single"/>
        </w:rPr>
        <w:t>:</w:t>
      </w:r>
      <w:r>
        <w:rPr>
          <w:rFonts w:hint="eastAsia" w:ascii="方正仿宋_GB2312" w:hAnsi="方正仿宋_GB2312" w:eastAsia="方正仿宋_GB2312" w:cs="方正仿宋_GB2312"/>
          <w:bCs/>
          <w:color w:val="000000"/>
          <w:sz w:val="28"/>
          <w:szCs w:val="28"/>
          <w:highlight w:val="none"/>
          <w:u w:val="single"/>
          <w:lang w:val="en-US" w:eastAsia="zh-CN"/>
        </w:rPr>
        <w:t>00</w:t>
      </w:r>
    </w:p>
    <w:p w14:paraId="6A611DDC">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none"/>
        </w:rPr>
        <w:t>（四）供应商应提交截止时间前将电子响应文件发送至邮箱（</w:t>
      </w:r>
      <w:r>
        <w:rPr>
          <w:rFonts w:hint="eastAsia" w:ascii="方正仿宋_GB2312" w:hAnsi="方正仿宋_GB2312" w:eastAsia="方正仿宋_GB2312" w:cs="方正仿宋_GB2312"/>
          <w:sz w:val="28"/>
          <w:szCs w:val="28"/>
          <w:highlight w:val="none"/>
          <w:lang w:eastAsia="zh-CN"/>
        </w:rPr>
        <w:t>616233899@qq.com</w:t>
      </w:r>
      <w:r>
        <w:rPr>
          <w:rFonts w:hint="eastAsia" w:ascii="方正仿宋_GB2312" w:hAnsi="方正仿宋_GB2312" w:eastAsia="方正仿宋_GB2312" w:cs="方正仿宋_GB2312"/>
          <w:sz w:val="28"/>
          <w:szCs w:val="28"/>
          <w:highlight w:val="white"/>
        </w:rPr>
        <w:t>），逾期完成发送的，采购人不予受理。</w:t>
      </w:r>
    </w:p>
    <w:p w14:paraId="64D5F1B0">
      <w:pPr>
        <w:spacing w:line="500" w:lineRule="exact"/>
        <w:ind w:firstLine="562" w:firstLineChars="200"/>
        <w:rPr>
          <w:rFonts w:hint="eastAsia" w:ascii="方正仿宋_GB2312" w:hAnsi="方正仿宋_GB2312" w:eastAsia="方正仿宋_GB2312" w:cs="方正仿宋_GB2312"/>
          <w:b/>
          <w:bCs/>
          <w:iCs/>
          <w:sz w:val="28"/>
          <w:szCs w:val="28"/>
          <w:highlight w:val="white"/>
        </w:rPr>
      </w:pPr>
      <w:r>
        <w:rPr>
          <w:rFonts w:hint="eastAsia" w:ascii="方正仿宋_GB2312" w:hAnsi="方正仿宋_GB2312" w:eastAsia="方正仿宋_GB2312" w:cs="方正仿宋_GB2312"/>
          <w:b/>
          <w:bCs/>
          <w:iCs/>
          <w:sz w:val="28"/>
          <w:szCs w:val="28"/>
          <w:highlight w:val="white"/>
        </w:rPr>
        <w:t>五、本次采购联系方式</w:t>
      </w:r>
    </w:p>
    <w:p w14:paraId="544380C8">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1.采购人信息</w:t>
      </w:r>
    </w:p>
    <w:p w14:paraId="3C41C543">
      <w:pPr>
        <w:spacing w:line="500" w:lineRule="exact"/>
        <w:ind w:firstLine="560" w:firstLineChars="200"/>
        <w:rPr>
          <w:rFonts w:hint="eastAsia" w:ascii="方正仿宋_GB2312" w:hAnsi="方正仿宋_GB2312" w:eastAsia="方正仿宋_GB2312" w:cs="方正仿宋_GB2312"/>
          <w:sz w:val="28"/>
          <w:szCs w:val="28"/>
          <w:highlight w:val="white"/>
          <w:lang w:eastAsia="zh-CN"/>
        </w:rPr>
      </w:pPr>
      <w:r>
        <w:rPr>
          <w:rFonts w:hint="eastAsia" w:ascii="方正仿宋_GB2312" w:hAnsi="方正仿宋_GB2312" w:eastAsia="方正仿宋_GB2312" w:cs="方正仿宋_GB2312"/>
          <w:sz w:val="28"/>
          <w:szCs w:val="28"/>
          <w:highlight w:val="white"/>
        </w:rPr>
        <w:t>名称：</w:t>
      </w:r>
      <w:r>
        <w:rPr>
          <w:rFonts w:hint="eastAsia" w:ascii="方正仿宋_GB2312" w:hAnsi="方正仿宋_GB2312" w:eastAsia="方正仿宋_GB2312" w:cs="方正仿宋_GB2312"/>
          <w:sz w:val="28"/>
          <w:szCs w:val="28"/>
          <w:highlight w:val="white"/>
          <w:lang w:eastAsia="zh-CN"/>
        </w:rPr>
        <w:t>宿迁市自然资源和规划局</w:t>
      </w:r>
    </w:p>
    <w:p w14:paraId="5A311A8E">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地址：宿迁市洪泽湖路889号（便民方舟3号楼）</w:t>
      </w:r>
    </w:p>
    <w:p w14:paraId="1632CFFE">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联系人：丁溪</w:t>
      </w:r>
    </w:p>
    <w:p w14:paraId="5AAA4D8F">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联系方式：13401898605</w:t>
      </w:r>
      <w:bookmarkStart w:id="3" w:name="_GoBack"/>
      <w:bookmarkEnd w:id="3"/>
    </w:p>
    <w:p w14:paraId="0B46B667">
      <w:pPr>
        <w:rPr>
          <w:rFonts w:hint="eastAsia" w:ascii="方正仿宋_GB2312" w:hAnsi="方正仿宋_GB2312" w:eastAsia="方正仿宋_GB2312" w:cs="方正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embedRegular r:id="rId1" w:fontKey="{55A2AF83-5392-4194-8A68-8D1822F48FF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hNGE1ZjA3OWVhYTQxNzRkYmQwYTJjYjg4OGRkYTAifQ=="/>
  </w:docVars>
  <w:rsids>
    <w:rsidRoot w:val="00BB5496"/>
    <w:rsid w:val="00036EDD"/>
    <w:rsid w:val="0007684E"/>
    <w:rsid w:val="00077253"/>
    <w:rsid w:val="001066D9"/>
    <w:rsid w:val="00175B5B"/>
    <w:rsid w:val="0019698F"/>
    <w:rsid w:val="00222B7F"/>
    <w:rsid w:val="002468D0"/>
    <w:rsid w:val="002E2966"/>
    <w:rsid w:val="002E30A6"/>
    <w:rsid w:val="003D405A"/>
    <w:rsid w:val="005015FE"/>
    <w:rsid w:val="0050465C"/>
    <w:rsid w:val="00586ACF"/>
    <w:rsid w:val="005C035B"/>
    <w:rsid w:val="005D572E"/>
    <w:rsid w:val="005E71DB"/>
    <w:rsid w:val="008D5780"/>
    <w:rsid w:val="0094356E"/>
    <w:rsid w:val="00985763"/>
    <w:rsid w:val="009B1C42"/>
    <w:rsid w:val="009E2E99"/>
    <w:rsid w:val="009E4DDF"/>
    <w:rsid w:val="009F4FB3"/>
    <w:rsid w:val="00AA5B7C"/>
    <w:rsid w:val="00AC2E0D"/>
    <w:rsid w:val="00AE6CA7"/>
    <w:rsid w:val="00B13D2C"/>
    <w:rsid w:val="00B708B9"/>
    <w:rsid w:val="00B7209E"/>
    <w:rsid w:val="00BB09C1"/>
    <w:rsid w:val="00BB5496"/>
    <w:rsid w:val="00C02226"/>
    <w:rsid w:val="00CB56A5"/>
    <w:rsid w:val="00D31DB4"/>
    <w:rsid w:val="00DA5981"/>
    <w:rsid w:val="00DD023B"/>
    <w:rsid w:val="00EF61A3"/>
    <w:rsid w:val="00FA57A6"/>
    <w:rsid w:val="04D8694E"/>
    <w:rsid w:val="06283890"/>
    <w:rsid w:val="0A2F7EAD"/>
    <w:rsid w:val="0AE0740A"/>
    <w:rsid w:val="0B756CA4"/>
    <w:rsid w:val="0CF64FD9"/>
    <w:rsid w:val="0D085B39"/>
    <w:rsid w:val="0E7923B1"/>
    <w:rsid w:val="13946135"/>
    <w:rsid w:val="141A0584"/>
    <w:rsid w:val="17D731F6"/>
    <w:rsid w:val="196F62FD"/>
    <w:rsid w:val="19947A8F"/>
    <w:rsid w:val="1C9E6B95"/>
    <w:rsid w:val="1D141E95"/>
    <w:rsid w:val="1EEE0DF0"/>
    <w:rsid w:val="20E245E0"/>
    <w:rsid w:val="21FA5CFD"/>
    <w:rsid w:val="22B21C62"/>
    <w:rsid w:val="23BA7796"/>
    <w:rsid w:val="24EF141E"/>
    <w:rsid w:val="253B28B5"/>
    <w:rsid w:val="26914E82"/>
    <w:rsid w:val="28612632"/>
    <w:rsid w:val="2AD815A5"/>
    <w:rsid w:val="2C511062"/>
    <w:rsid w:val="2D260BCB"/>
    <w:rsid w:val="2DBD655D"/>
    <w:rsid w:val="2E5340CC"/>
    <w:rsid w:val="30936632"/>
    <w:rsid w:val="331D184C"/>
    <w:rsid w:val="333C4FE6"/>
    <w:rsid w:val="365323FF"/>
    <w:rsid w:val="371107C6"/>
    <w:rsid w:val="382D7206"/>
    <w:rsid w:val="3BA40DCD"/>
    <w:rsid w:val="3C6167CA"/>
    <w:rsid w:val="3FED574D"/>
    <w:rsid w:val="405F5252"/>
    <w:rsid w:val="437D2BFE"/>
    <w:rsid w:val="4762455C"/>
    <w:rsid w:val="48AB0A5A"/>
    <w:rsid w:val="492D2391"/>
    <w:rsid w:val="4C107D48"/>
    <w:rsid w:val="4CC9532C"/>
    <w:rsid w:val="4DAC584E"/>
    <w:rsid w:val="506B51A7"/>
    <w:rsid w:val="54362370"/>
    <w:rsid w:val="565F6AC4"/>
    <w:rsid w:val="5B6F3AEF"/>
    <w:rsid w:val="5DCD7847"/>
    <w:rsid w:val="5FF26CD5"/>
    <w:rsid w:val="679F0F2F"/>
    <w:rsid w:val="6C9F4AA4"/>
    <w:rsid w:val="6F617513"/>
    <w:rsid w:val="76F93003"/>
    <w:rsid w:val="778560AF"/>
    <w:rsid w:val="7B844B2A"/>
    <w:rsid w:val="7BA125C7"/>
    <w:rsid w:val="7DF12C86"/>
    <w:rsid w:val="7ECA4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rPr>
      <w:rFonts w:ascii="Times New Roman" w:hAnsi="Times New Roman" w:eastAsia="宋体" w:cs="Times New Roman"/>
      <w:szCs w:val="20"/>
    </w:rPr>
  </w:style>
  <w:style w:type="paragraph" w:styleId="5">
    <w:name w:val="Normal Indent"/>
    <w:basedOn w:val="1"/>
    <w:autoRedefine/>
    <w:qFormat/>
    <w:uiPriority w:val="0"/>
    <w:pPr>
      <w:ind w:firstLine="420"/>
    </w:pPr>
    <w:rPr>
      <w:szCs w:val="21"/>
    </w:rPr>
  </w:style>
  <w:style w:type="paragraph" w:styleId="6">
    <w:name w:val="annotation text"/>
    <w:basedOn w:val="1"/>
    <w:autoRedefine/>
    <w:semiHidden/>
    <w:unhideWhenUsed/>
    <w:qFormat/>
    <w:uiPriority w:val="99"/>
    <w:pPr>
      <w:jc w:val="left"/>
    </w:pPr>
  </w:style>
  <w:style w:type="paragraph" w:styleId="7">
    <w:name w:val="Body Text Indent 2"/>
    <w:basedOn w:val="1"/>
    <w:link w:val="24"/>
    <w:autoRedefine/>
    <w:semiHidden/>
    <w:unhideWhenUsed/>
    <w:qFormat/>
    <w:uiPriority w:val="0"/>
    <w:pPr>
      <w:spacing w:line="540" w:lineRule="exact"/>
      <w:ind w:firstLine="225" w:firstLineChars="225"/>
      <w:jc w:val="left"/>
    </w:pPr>
    <w:rPr>
      <w:rFonts w:ascii="仿宋_GB2312" w:eastAsia="仿宋_GB2312"/>
      <w:sz w:val="32"/>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style>
  <w:style w:type="character" w:styleId="12">
    <w:name w:val="FollowedHyperlink"/>
    <w:basedOn w:val="10"/>
    <w:autoRedefine/>
    <w:semiHidden/>
    <w:unhideWhenUsed/>
    <w:qFormat/>
    <w:uiPriority w:val="99"/>
    <w:rPr>
      <w:color w:val="800080"/>
      <w:u w:val="none"/>
    </w:rPr>
  </w:style>
  <w:style w:type="character" w:styleId="13">
    <w:name w:val="Emphasis"/>
    <w:basedOn w:val="10"/>
    <w:autoRedefine/>
    <w:qFormat/>
    <w:uiPriority w:val="20"/>
  </w:style>
  <w:style w:type="character" w:styleId="14">
    <w:name w:val="HTML Definition"/>
    <w:basedOn w:val="10"/>
    <w:autoRedefine/>
    <w:semiHidden/>
    <w:unhideWhenUsed/>
    <w:qFormat/>
    <w:uiPriority w:val="99"/>
  </w:style>
  <w:style w:type="character" w:styleId="15">
    <w:name w:val="HTML Typewriter"/>
    <w:basedOn w:val="10"/>
    <w:autoRedefine/>
    <w:semiHidden/>
    <w:unhideWhenUsed/>
    <w:qFormat/>
    <w:uiPriority w:val="99"/>
    <w:rPr>
      <w:rFonts w:hint="default" w:ascii="monospace" w:hAnsi="monospace" w:eastAsia="monospace" w:cs="monospace"/>
      <w:sz w:val="20"/>
    </w:rPr>
  </w:style>
  <w:style w:type="character" w:styleId="16">
    <w:name w:val="HTML Acronym"/>
    <w:basedOn w:val="10"/>
    <w:autoRedefine/>
    <w:semiHidden/>
    <w:unhideWhenUsed/>
    <w:qFormat/>
    <w:uiPriority w:val="99"/>
  </w:style>
  <w:style w:type="character" w:styleId="17">
    <w:name w:val="HTML Variable"/>
    <w:basedOn w:val="10"/>
    <w:autoRedefine/>
    <w:semiHidden/>
    <w:unhideWhenUsed/>
    <w:qFormat/>
    <w:uiPriority w:val="99"/>
  </w:style>
  <w:style w:type="character" w:styleId="18">
    <w:name w:val="Hyperlink"/>
    <w:basedOn w:val="10"/>
    <w:autoRedefine/>
    <w:semiHidden/>
    <w:unhideWhenUsed/>
    <w:qFormat/>
    <w:uiPriority w:val="99"/>
    <w:rPr>
      <w:color w:val="0000FF"/>
      <w:u w:val="none"/>
    </w:rPr>
  </w:style>
  <w:style w:type="character" w:styleId="19">
    <w:name w:val="HTML Code"/>
    <w:basedOn w:val="10"/>
    <w:autoRedefine/>
    <w:semiHidden/>
    <w:unhideWhenUsed/>
    <w:qFormat/>
    <w:uiPriority w:val="99"/>
    <w:rPr>
      <w:rFonts w:ascii="monospace" w:hAnsi="monospace" w:eastAsia="monospace" w:cs="monospace"/>
      <w:sz w:val="20"/>
    </w:rPr>
  </w:style>
  <w:style w:type="character" w:styleId="20">
    <w:name w:val="HTML Cite"/>
    <w:basedOn w:val="10"/>
    <w:autoRedefine/>
    <w:semiHidden/>
    <w:unhideWhenUsed/>
    <w:qFormat/>
    <w:uiPriority w:val="99"/>
  </w:style>
  <w:style w:type="character" w:styleId="21">
    <w:name w:val="HTML Keyboard"/>
    <w:basedOn w:val="10"/>
    <w:autoRedefine/>
    <w:semiHidden/>
    <w:unhideWhenUsed/>
    <w:qFormat/>
    <w:uiPriority w:val="99"/>
    <w:rPr>
      <w:rFonts w:hint="default" w:ascii="monospace" w:hAnsi="monospace" w:eastAsia="monospace" w:cs="monospace"/>
      <w:sz w:val="20"/>
    </w:rPr>
  </w:style>
  <w:style w:type="character" w:styleId="22">
    <w:name w:val="HTML Sample"/>
    <w:basedOn w:val="10"/>
    <w:autoRedefine/>
    <w:semiHidden/>
    <w:unhideWhenUsed/>
    <w:qFormat/>
    <w:uiPriority w:val="99"/>
    <w:rPr>
      <w:rFonts w:hint="default" w:ascii="monospace" w:hAnsi="monospace" w:eastAsia="monospace" w:cs="monospace"/>
    </w:rPr>
  </w:style>
  <w:style w:type="character" w:customStyle="1" w:styleId="23">
    <w:name w:val="标题 1 字符"/>
    <w:basedOn w:val="10"/>
    <w:link w:val="2"/>
    <w:autoRedefine/>
    <w:qFormat/>
    <w:uiPriority w:val="0"/>
    <w:rPr>
      <w:rFonts w:ascii="Times New Roman" w:hAnsi="Times New Roman" w:eastAsia="宋体" w:cs="Times New Roman"/>
      <w:b/>
      <w:kern w:val="44"/>
      <w:sz w:val="44"/>
      <w:szCs w:val="20"/>
    </w:rPr>
  </w:style>
  <w:style w:type="character" w:customStyle="1" w:styleId="24">
    <w:name w:val="正文文本缩进 2 字符"/>
    <w:basedOn w:val="10"/>
    <w:link w:val="7"/>
    <w:autoRedefine/>
    <w:semiHidden/>
    <w:qFormat/>
    <w:uiPriority w:val="0"/>
    <w:rPr>
      <w:rFonts w:ascii="仿宋_GB2312" w:hAnsi="Calibri" w:eastAsia="仿宋_GB2312" w:cs="Times New Roman"/>
      <w:sz w:val="32"/>
    </w:rPr>
  </w:style>
  <w:style w:type="character" w:customStyle="1" w:styleId="25">
    <w:name w:val="old"/>
    <w:basedOn w:val="10"/>
    <w:autoRedefine/>
    <w:qFormat/>
    <w:uiPriority w:val="0"/>
    <w:rPr>
      <w:color w:val="999999"/>
    </w:rPr>
  </w:style>
  <w:style w:type="character" w:customStyle="1" w:styleId="26">
    <w:name w:val="layui-layer-tabnow"/>
    <w:basedOn w:val="10"/>
    <w:autoRedefine/>
    <w:qFormat/>
    <w:uiPriority w:val="0"/>
    <w:rPr>
      <w:bdr w:val="single" w:color="CCCCCC" w:sz="6" w:space="0"/>
      <w:shd w:val="clear" w:fill="FFFFFF"/>
    </w:rPr>
  </w:style>
  <w:style w:type="character" w:customStyle="1" w:styleId="27">
    <w:name w:val="glyphicon"/>
    <w:basedOn w:val="10"/>
    <w:autoRedefine/>
    <w:qFormat/>
    <w:uiPriority w:val="0"/>
  </w:style>
  <w:style w:type="character" w:customStyle="1" w:styleId="28">
    <w:name w:val="hour_am"/>
    <w:basedOn w:val="10"/>
    <w:autoRedefine/>
    <w:qFormat/>
    <w:uiPriority w:val="0"/>
  </w:style>
  <w:style w:type="character" w:customStyle="1" w:styleId="29">
    <w:name w:val="hover5"/>
    <w:basedOn w:val="10"/>
    <w:autoRedefine/>
    <w:qFormat/>
    <w:uiPriority w:val="0"/>
    <w:rPr>
      <w:shd w:val="clear" w:fill="EEEEEE"/>
    </w:rPr>
  </w:style>
  <w:style w:type="character" w:customStyle="1" w:styleId="30">
    <w:name w:val="hour_pm"/>
    <w:basedOn w:val="10"/>
    <w:autoRedefine/>
    <w:qFormat/>
    <w:uiPriority w:val="0"/>
  </w:style>
  <w:style w:type="character" w:customStyle="1" w:styleId="31">
    <w:name w:val="first-child"/>
    <w:basedOn w:val="10"/>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237B-81AE-4AF4-AB3A-081D35362E77}">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1225</Words>
  <Characters>1389</Characters>
  <Lines>5</Lines>
  <Paragraphs>1</Paragraphs>
  <TotalTime>0</TotalTime>
  <ScaleCrop>false</ScaleCrop>
  <LinksUpToDate>false</LinksUpToDate>
  <CharactersWithSpaces>1392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2022-07-18T08:10:00Z</dcterms:created>
  <dc:creator>sqzbbzbs@163.com</dc:creator>
  <cp:lastModifiedBy>春暖花开</cp:lastModifiedBy>
  <dcterms:modified xsi:type="dcterms:W3CDTF">2025-09-26T10:55:48Z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D0DBA5F50C7545B9AB07CE0AD9518293_13</vt:lpwstr>
  </property>
  <property fmtid="{D5CDD505-2E9C-101B-9397-08002B2CF9AE}" pid="4" name="KSOTemplateDocerSaveRecord">
    <vt:lpwstr>eyJoZGlkIjoiM2RiZDY3MGZmNmQwNWIyMzE4OGQwOGVlN2EwM2I1NjgiLCJ1c2VySWQiOiI0MTAzODI5MzAifQ==</vt:lpwstr>
  </property>
</Properties>
</file>